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EA10" w14:textId="2D61CC6F" w:rsidR="00CE1DBF" w:rsidRDefault="00A656A3" w:rsidP="00A656A3">
      <w:pPr>
        <w:spacing w:after="40"/>
        <w:rPr>
          <w:b/>
          <w:color w:val="184F95"/>
          <w:sz w:val="34"/>
        </w:rPr>
      </w:pPr>
      <w:r>
        <w:rPr>
          <w:b/>
          <w:color w:val="184F95"/>
          <w:sz w:val="34"/>
        </w:rPr>
        <w:t>Cobertura distrital del Servicio de Cuidado Diurno en Amazonas</w:t>
      </w:r>
    </w:p>
    <w:p w14:paraId="5EAD53E5" w14:textId="3A7856FA" w:rsidR="00A656A3" w:rsidRDefault="00A656A3" w:rsidP="00A656A3">
      <w:pPr>
        <w:spacing w:after="160"/>
        <w:rPr>
          <w:color w:val="5D6670"/>
          <w:sz w:val="18"/>
        </w:rPr>
      </w:pPr>
      <w:r>
        <w:rPr>
          <w:color w:val="5D6670"/>
          <w:sz w:val="18"/>
        </w:rPr>
        <w:t>Resumen ejecutivo · Corte agosto 2026 · Elaborado por Cynthia Cevallos · 13 de octubre de 2026</w:t>
      </w:r>
    </w:p>
    <w:tbl>
      <w:tblPr>
        <w:tblW w:w="0" w:type="auto"/>
        <w:tblBorders>
          <w:left w:val="single" w:sz="36" w:space="0" w:color="EC835A"/>
        </w:tblBorders>
        <w:shd w:val="clear" w:color="auto" w:fill="FDEEE7"/>
        <w:tblLayout w:type="fixed"/>
        <w:tblCellMar>
          <w:top w:w="85" w:type="dxa"/>
          <w:left w:w="198" w:type="dxa"/>
          <w:bottom w:w="85" w:type="dxa"/>
          <w:right w:w="170" w:type="dxa"/>
        </w:tblCellMar>
        <w:tblLook w:val="0000" w:firstRow="0" w:lastRow="0" w:firstColumn="0" w:lastColumn="0" w:noHBand="0" w:noVBand="0"/>
      </w:tblPr>
      <w:tblGrid>
        <w:gridCol w:w="9639"/>
      </w:tblGrid>
      <w:tr w:rsidR="00A656A3" w14:paraId="4ECB063C" w14:textId="77777777" w:rsidTr="00A656A3">
        <w:tc>
          <w:tcPr>
            <w:tcW w:w="9639" w:type="dxa"/>
            <w:shd w:val="clear" w:color="auto" w:fill="FDEEE7"/>
          </w:tcPr>
          <w:p w14:paraId="7FB38292" w14:textId="77777777" w:rsidR="00A656A3" w:rsidRDefault="00A656A3" w:rsidP="00A656A3">
            <w:pPr>
              <w:spacing w:after="40"/>
              <w:rPr>
                <w:b/>
                <w:color w:val="C4501F"/>
                <w:sz w:val="21"/>
              </w:rPr>
            </w:pPr>
            <w:r w:rsidRPr="00A656A3">
              <w:rPr>
                <w:rFonts w:ascii="Segoe UI Symbol" w:hAnsi="Segoe UI Symbol" w:cs="Segoe UI Symbol"/>
                <w:b/>
                <w:color w:val="C4501F"/>
                <w:sz w:val="21"/>
              </w:rPr>
              <w:t>⚠</w:t>
            </w:r>
            <w:r w:rsidRPr="00A656A3">
              <w:rPr>
                <w:b/>
                <w:color w:val="C4501F"/>
                <w:sz w:val="21"/>
              </w:rPr>
              <w:t xml:space="preserve"> HALLAZGO PRINCIPAL: atendemos en un distrito marcado como NO focalizado</w:t>
            </w:r>
          </w:p>
          <w:p w14:paraId="00080596" w14:textId="6E1B5F5F" w:rsidR="00A656A3" w:rsidRPr="00A656A3" w:rsidRDefault="00A656A3" w:rsidP="00A656A3">
            <w:pPr>
              <w:spacing w:after="0"/>
              <w:rPr>
                <w:sz w:val="19"/>
              </w:rPr>
            </w:pPr>
            <w:r w:rsidRPr="00A656A3">
              <w:rPr>
                <w:sz w:val="19"/>
              </w:rPr>
              <w:t>El distrito de Bagua (provincia de Bagua) figura como NO focalizado y es el segundo distrito con más usuarios de Amazonas: 200 niñas y niños (19.3% del total), 6 locales y 36 actores comunales, en los Comités de Gestión Gotitas de Amor y El Rebaño de Jesús. Se requiere verificar si existe una excepción vigente o un error en alguno de los dos registros.</w:t>
            </w:r>
          </w:p>
        </w:tc>
      </w:tr>
    </w:tbl>
    <w:p w14:paraId="5CFC29F0" w14:textId="77777777" w:rsidR="00A656A3" w:rsidRDefault="00A656A3" w:rsidP="00A656A3">
      <w:pPr>
        <w:spacing w:after="0"/>
        <w:rPr>
          <w:sz w:val="8"/>
        </w:rPr>
      </w:pPr>
    </w:p>
    <w:tbl>
      <w:tblPr>
        <w:tblW w:w="0" w:type="auto"/>
        <w:shd w:val="clear" w:color="auto" w:fill="EAF2FB"/>
        <w:tblLayout w:type="fixed"/>
        <w:tblCellMar>
          <w:top w:w="6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1927"/>
        <w:gridCol w:w="1928"/>
        <w:gridCol w:w="1928"/>
        <w:gridCol w:w="1928"/>
        <w:gridCol w:w="1928"/>
      </w:tblGrid>
      <w:tr w:rsidR="00A656A3" w14:paraId="5C4957C8" w14:textId="77777777" w:rsidTr="00A656A3">
        <w:tc>
          <w:tcPr>
            <w:tcW w:w="1927" w:type="dxa"/>
            <w:shd w:val="clear" w:color="auto" w:fill="EAF2FB"/>
          </w:tcPr>
          <w:p w14:paraId="749A33A9" w14:textId="1EBBAC11" w:rsidR="00A656A3" w:rsidRPr="00A656A3" w:rsidRDefault="00A656A3" w:rsidP="00A656A3">
            <w:pPr>
              <w:spacing w:after="0"/>
              <w:jc w:val="center"/>
              <w:rPr>
                <w:b/>
                <w:color w:val="184F95"/>
                <w:sz w:val="32"/>
              </w:rPr>
            </w:pPr>
            <w:r w:rsidRPr="00A656A3">
              <w:rPr>
                <w:b/>
                <w:color w:val="184F95"/>
                <w:sz w:val="32"/>
              </w:rPr>
              <w:t>1,035</w:t>
            </w:r>
          </w:p>
        </w:tc>
        <w:tc>
          <w:tcPr>
            <w:tcW w:w="1928" w:type="dxa"/>
            <w:shd w:val="clear" w:color="auto" w:fill="EAF2FB"/>
          </w:tcPr>
          <w:p w14:paraId="5ABCDE0B" w14:textId="393CC65D" w:rsidR="00A656A3" w:rsidRPr="00A656A3" w:rsidRDefault="00A656A3" w:rsidP="00A656A3">
            <w:pPr>
              <w:spacing w:after="0"/>
              <w:jc w:val="center"/>
              <w:rPr>
                <w:b/>
                <w:color w:val="184F95"/>
                <w:sz w:val="32"/>
              </w:rPr>
            </w:pPr>
            <w:r w:rsidRPr="00A656A3">
              <w:rPr>
                <w:b/>
                <w:color w:val="184F95"/>
                <w:sz w:val="32"/>
              </w:rPr>
              <w:t>12</w:t>
            </w:r>
          </w:p>
        </w:tc>
        <w:tc>
          <w:tcPr>
            <w:tcW w:w="1928" w:type="dxa"/>
            <w:shd w:val="clear" w:color="auto" w:fill="EAF2FB"/>
          </w:tcPr>
          <w:p w14:paraId="1A9F2B62" w14:textId="74484190" w:rsidR="00A656A3" w:rsidRPr="00A656A3" w:rsidRDefault="00A656A3" w:rsidP="00A656A3">
            <w:pPr>
              <w:spacing w:after="0"/>
              <w:jc w:val="center"/>
              <w:rPr>
                <w:b/>
                <w:color w:val="184F95"/>
                <w:sz w:val="32"/>
              </w:rPr>
            </w:pPr>
            <w:r w:rsidRPr="00A656A3">
              <w:rPr>
                <w:b/>
                <w:color w:val="184F95"/>
                <w:sz w:val="32"/>
              </w:rPr>
              <w:t>40</w:t>
            </w:r>
          </w:p>
        </w:tc>
        <w:tc>
          <w:tcPr>
            <w:tcW w:w="1928" w:type="dxa"/>
            <w:shd w:val="clear" w:color="auto" w:fill="EAF2FB"/>
          </w:tcPr>
          <w:p w14:paraId="67500AD8" w14:textId="3DADD7B3" w:rsidR="00A656A3" w:rsidRPr="00A656A3" w:rsidRDefault="00A656A3" w:rsidP="00A656A3">
            <w:pPr>
              <w:spacing w:after="0"/>
              <w:jc w:val="center"/>
              <w:rPr>
                <w:b/>
                <w:color w:val="184F95"/>
                <w:sz w:val="32"/>
              </w:rPr>
            </w:pPr>
            <w:r w:rsidRPr="00A656A3">
              <w:rPr>
                <w:b/>
                <w:color w:val="184F95"/>
                <w:sz w:val="32"/>
              </w:rPr>
              <w:t>199</w:t>
            </w:r>
          </w:p>
        </w:tc>
        <w:tc>
          <w:tcPr>
            <w:tcW w:w="1928" w:type="dxa"/>
            <w:shd w:val="clear" w:color="auto" w:fill="EAF2FB"/>
          </w:tcPr>
          <w:p w14:paraId="04BCDBCF" w14:textId="08AC1498" w:rsidR="00A656A3" w:rsidRPr="00A656A3" w:rsidRDefault="00A656A3" w:rsidP="00A656A3">
            <w:pPr>
              <w:spacing w:after="0"/>
              <w:jc w:val="center"/>
              <w:rPr>
                <w:b/>
                <w:color w:val="C4501F"/>
                <w:sz w:val="32"/>
              </w:rPr>
            </w:pPr>
            <w:r w:rsidRPr="00A656A3">
              <w:rPr>
                <w:b/>
                <w:color w:val="C4501F"/>
                <w:sz w:val="32"/>
              </w:rPr>
              <w:t>10 de 84</w:t>
            </w:r>
          </w:p>
        </w:tc>
      </w:tr>
      <w:tr w:rsidR="00A656A3" w14:paraId="3085F95A" w14:textId="77777777" w:rsidTr="00A656A3">
        <w:tc>
          <w:tcPr>
            <w:tcW w:w="1927" w:type="dxa"/>
            <w:shd w:val="clear" w:color="auto" w:fill="EAF2FB"/>
          </w:tcPr>
          <w:p w14:paraId="04B98DB8" w14:textId="20C4CEC3" w:rsidR="00A656A3" w:rsidRPr="00A656A3" w:rsidRDefault="00A656A3" w:rsidP="00A656A3">
            <w:pPr>
              <w:spacing w:after="40"/>
              <w:jc w:val="center"/>
              <w:rPr>
                <w:color w:val="5D6670"/>
                <w:sz w:val="16"/>
              </w:rPr>
            </w:pPr>
            <w:r w:rsidRPr="00A656A3">
              <w:rPr>
                <w:color w:val="5D6670"/>
                <w:sz w:val="16"/>
              </w:rPr>
              <w:t>usuarios</w:t>
            </w:r>
          </w:p>
        </w:tc>
        <w:tc>
          <w:tcPr>
            <w:tcW w:w="1928" w:type="dxa"/>
            <w:shd w:val="clear" w:color="auto" w:fill="EAF2FB"/>
          </w:tcPr>
          <w:p w14:paraId="5D7E7B32" w14:textId="6B92A81D" w:rsidR="00A656A3" w:rsidRPr="00A656A3" w:rsidRDefault="00A656A3" w:rsidP="00A656A3">
            <w:pPr>
              <w:spacing w:after="40"/>
              <w:jc w:val="center"/>
              <w:rPr>
                <w:color w:val="5D6670"/>
                <w:sz w:val="16"/>
              </w:rPr>
            </w:pPr>
            <w:r w:rsidRPr="00A656A3">
              <w:rPr>
                <w:color w:val="5D6670"/>
                <w:sz w:val="16"/>
              </w:rPr>
              <w:t>Comités de Gestión</w:t>
            </w:r>
          </w:p>
        </w:tc>
        <w:tc>
          <w:tcPr>
            <w:tcW w:w="1928" w:type="dxa"/>
            <w:shd w:val="clear" w:color="auto" w:fill="EAF2FB"/>
          </w:tcPr>
          <w:p w14:paraId="58492593" w14:textId="13083A36" w:rsidR="00A656A3" w:rsidRPr="00A656A3" w:rsidRDefault="00A656A3" w:rsidP="00A656A3">
            <w:pPr>
              <w:spacing w:after="40"/>
              <w:jc w:val="center"/>
              <w:rPr>
                <w:color w:val="5D6670"/>
                <w:sz w:val="16"/>
              </w:rPr>
            </w:pPr>
            <w:r w:rsidRPr="00A656A3">
              <w:rPr>
                <w:color w:val="5D6670"/>
                <w:sz w:val="16"/>
              </w:rPr>
              <w:t>locales (CIAI)</w:t>
            </w:r>
          </w:p>
        </w:tc>
        <w:tc>
          <w:tcPr>
            <w:tcW w:w="1928" w:type="dxa"/>
            <w:shd w:val="clear" w:color="auto" w:fill="EAF2FB"/>
          </w:tcPr>
          <w:p w14:paraId="09334E46" w14:textId="5138BCB4" w:rsidR="00A656A3" w:rsidRPr="00A656A3" w:rsidRDefault="00A656A3" w:rsidP="00A656A3">
            <w:pPr>
              <w:spacing w:after="40"/>
              <w:jc w:val="center"/>
              <w:rPr>
                <w:color w:val="5D6670"/>
                <w:sz w:val="16"/>
              </w:rPr>
            </w:pPr>
            <w:r w:rsidRPr="00A656A3">
              <w:rPr>
                <w:color w:val="5D6670"/>
                <w:sz w:val="16"/>
              </w:rPr>
              <w:t>actores comunales*</w:t>
            </w:r>
          </w:p>
        </w:tc>
        <w:tc>
          <w:tcPr>
            <w:tcW w:w="1928" w:type="dxa"/>
            <w:shd w:val="clear" w:color="auto" w:fill="EAF2FB"/>
          </w:tcPr>
          <w:p w14:paraId="104E8D0E" w14:textId="4C9EBE78" w:rsidR="00A656A3" w:rsidRPr="00A656A3" w:rsidRDefault="00A656A3" w:rsidP="00A656A3">
            <w:pPr>
              <w:spacing w:after="40"/>
              <w:jc w:val="center"/>
              <w:rPr>
                <w:color w:val="5D6670"/>
                <w:sz w:val="16"/>
              </w:rPr>
            </w:pPr>
            <w:r w:rsidRPr="00A656A3">
              <w:rPr>
                <w:color w:val="5D6670"/>
                <w:sz w:val="16"/>
              </w:rPr>
              <w:t>distritos con cobertura</w:t>
            </w:r>
          </w:p>
        </w:tc>
      </w:tr>
    </w:tbl>
    <w:p w14:paraId="047C7083" w14:textId="00FDE4BA" w:rsidR="00A656A3" w:rsidRDefault="00A656A3" w:rsidP="00A656A3">
      <w:pPr>
        <w:spacing w:before="20" w:after="0"/>
        <w:rPr>
          <w:i/>
          <w:color w:val="5D6670"/>
          <w:sz w:val="15"/>
        </w:rPr>
      </w:pPr>
      <w:r>
        <w:rPr>
          <w:i/>
          <w:color w:val="5D6670"/>
          <w:sz w:val="15"/>
        </w:rPr>
        <w:t>* Madres Cuidadoras (171), Madres Guía (2) y Guías de Familia (26).</w:t>
      </w:r>
    </w:p>
    <w:p w14:paraId="55131478" w14:textId="58052169" w:rsidR="00A656A3" w:rsidRDefault="00A656A3" w:rsidP="00A656A3">
      <w:pPr>
        <w:spacing w:before="180"/>
        <w:rPr>
          <w:b/>
          <w:color w:val="184F95"/>
          <w:sz w:val="24"/>
        </w:rPr>
      </w:pPr>
      <w:r>
        <w:rPr>
          <w:b/>
          <w:color w:val="184F95"/>
          <w:sz w:val="24"/>
        </w:rPr>
        <w:t>1. Hallazgos principales</w:t>
      </w:r>
    </w:p>
    <w:p w14:paraId="3AB71572" w14:textId="2C6E6E9F" w:rsidR="00A656A3" w:rsidRPr="00A656A3" w:rsidRDefault="00A656A3" w:rsidP="00A656A3">
      <w:pPr>
        <w:pStyle w:val="Prrafodelista"/>
        <w:numPr>
          <w:ilvl w:val="0"/>
          <w:numId w:val="1"/>
        </w:numPr>
        <w:spacing w:after="40"/>
        <w:ind w:left="340" w:hanging="227"/>
        <w:rPr>
          <w:b/>
        </w:rPr>
      </w:pPr>
      <w:r w:rsidRPr="00A656A3">
        <w:rPr>
          <w:b/>
        </w:rPr>
        <w:t xml:space="preserve">Baja cobertura territorial: </w:t>
      </w:r>
      <w:r>
        <w:t xml:space="preserve">solo 10 de los 84 distritos de Amazonas (11.9%) tienen usuarios del SCD; </w:t>
      </w:r>
      <w:r w:rsidRPr="00A656A3">
        <w:rPr>
          <w:b/>
        </w:rPr>
        <w:t>74 distritos no tienen cobertura.</w:t>
      </w:r>
    </w:p>
    <w:p w14:paraId="602F94BE" w14:textId="307CC59C" w:rsidR="00A656A3" w:rsidRDefault="00A656A3" w:rsidP="00A656A3">
      <w:pPr>
        <w:pStyle w:val="Prrafodelista"/>
        <w:numPr>
          <w:ilvl w:val="0"/>
          <w:numId w:val="1"/>
        </w:numPr>
        <w:spacing w:after="40"/>
        <w:ind w:left="340" w:hanging="227"/>
      </w:pPr>
      <w:r w:rsidRPr="00A656A3">
        <w:rPr>
          <w:b/>
        </w:rPr>
        <w:t xml:space="preserve">Dos provincias sin ningún distrito atendido: </w:t>
      </w:r>
      <w:r>
        <w:t>Luya (23 distritos) y Rodríguez de Mendoza (12 distritos).</w:t>
      </w:r>
    </w:p>
    <w:p w14:paraId="7F45152D" w14:textId="7834F67C" w:rsidR="00A656A3" w:rsidRDefault="00A656A3" w:rsidP="00A656A3">
      <w:pPr>
        <w:pStyle w:val="Prrafodelista"/>
        <w:numPr>
          <w:ilvl w:val="0"/>
          <w:numId w:val="1"/>
        </w:numPr>
        <w:spacing w:after="40"/>
        <w:ind w:left="340" w:hanging="227"/>
      </w:pPr>
      <w:r w:rsidRPr="00A656A3">
        <w:rPr>
          <w:b/>
        </w:rPr>
        <w:t xml:space="preserve">Alta concentración: </w:t>
      </w:r>
      <w:r>
        <w:t>Bagua Grande (268 usuarios) y Bagua (200) reúnen el 45% de los usuarios. Utcubamba es la provincia con mayor cobertura (4 de 7 distritos).</w:t>
      </w:r>
    </w:p>
    <w:p w14:paraId="28936A96" w14:textId="78CC9610" w:rsidR="00A656A3" w:rsidRDefault="00A656A3" w:rsidP="00A656A3">
      <w:pPr>
        <w:pStyle w:val="Prrafodelista"/>
        <w:numPr>
          <w:ilvl w:val="0"/>
          <w:numId w:val="1"/>
        </w:numPr>
        <w:spacing w:after="40"/>
        <w:ind w:left="340" w:hanging="227"/>
      </w:pPr>
      <w:r w:rsidRPr="00A656A3">
        <w:rPr>
          <w:b/>
        </w:rPr>
        <w:t xml:space="preserve">Focalización: </w:t>
      </w:r>
      <w:r>
        <w:t>Bagua, el segundo distrito con más usuarios, figura como NO focalizado. Para los otros 9 distritos atendidos no hay dato de focalización.</w:t>
      </w:r>
    </w:p>
    <w:p w14:paraId="031E422D" w14:textId="730478A3" w:rsidR="00A656A3" w:rsidRDefault="00A656A3" w:rsidP="00A656A3">
      <w:pPr>
        <w:spacing w:after="40"/>
        <w:jc w:val="center"/>
      </w:pPr>
      <w:r>
        <w:rPr>
          <w:noProof/>
        </w:rPr>
        <w:drawing>
          <wp:inline distT="0" distB="0" distL="0" distR="0" wp14:anchorId="0D950785" wp14:editId="22292564">
            <wp:extent cx="5220008" cy="2244728"/>
            <wp:effectExtent l="0" t="0" r="0" b="3175"/>
            <wp:docPr id="12907567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75675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8" cy="224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14E2E" w14:textId="01C143FC" w:rsidR="00A656A3" w:rsidRDefault="00A656A3" w:rsidP="00A656A3">
      <w:pPr>
        <w:spacing w:after="80"/>
        <w:jc w:val="center"/>
        <w:rPr>
          <w:i/>
          <w:color w:val="5D6670"/>
          <w:sz w:val="15"/>
        </w:rPr>
      </w:pPr>
      <w:r>
        <w:rPr>
          <w:i/>
          <w:color w:val="5D6670"/>
          <w:sz w:val="15"/>
        </w:rPr>
        <w:t>Gráfico 1. Fuente: Padrón SCD agosto 2026; universo de distritos según ubigeo INEI. Elaboración propia.</w:t>
      </w:r>
    </w:p>
    <w:p w14:paraId="04E89D60" w14:textId="3584B18E" w:rsidR="00A656A3" w:rsidRDefault="00A656A3" w:rsidP="00A656A3">
      <w:pPr>
        <w:spacing w:after="80"/>
        <w:jc w:val="center"/>
        <w:rPr>
          <w:i/>
          <w:color w:val="5D6670"/>
          <w:sz w:val="15"/>
        </w:rPr>
      </w:pPr>
      <w:r>
        <w:rPr>
          <w:i/>
          <w:noProof/>
          <w:color w:val="5D6670"/>
          <w:sz w:val="15"/>
        </w:rPr>
        <w:drawing>
          <wp:inline distT="0" distB="0" distL="0" distR="0" wp14:anchorId="3E9C5DA4" wp14:editId="6075CC3D">
            <wp:extent cx="5040008" cy="2746671"/>
            <wp:effectExtent l="0" t="0" r="8255" b="0"/>
            <wp:docPr id="44791009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1009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8" cy="274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D9C69" w14:textId="08D651B9" w:rsidR="00A656A3" w:rsidRDefault="00A656A3" w:rsidP="00A656A3">
      <w:pPr>
        <w:spacing w:after="80"/>
        <w:jc w:val="center"/>
        <w:rPr>
          <w:i/>
          <w:color w:val="5D6670"/>
          <w:sz w:val="15"/>
        </w:rPr>
      </w:pPr>
      <w:r>
        <w:rPr>
          <w:i/>
          <w:color w:val="5D6670"/>
          <w:sz w:val="15"/>
        </w:rPr>
        <w:t>Gráfico 2. Fuente: Padrón SCD agosto 2026; archivo Distritos Focalizados. Elaboración propia.</w:t>
      </w:r>
    </w:p>
    <w:p w14:paraId="118F24A5" w14:textId="3B7D99FF" w:rsidR="00A656A3" w:rsidRDefault="00A656A3" w:rsidP="00A656A3">
      <w:pPr>
        <w:spacing w:before="180"/>
        <w:rPr>
          <w:b/>
          <w:color w:val="184F95"/>
          <w:sz w:val="24"/>
        </w:rPr>
      </w:pPr>
      <w:r>
        <w:rPr>
          <w:b/>
          <w:color w:val="184F95"/>
          <w:sz w:val="24"/>
        </w:rPr>
        <w:lastRenderedPageBreak/>
        <w:t>2. Interpretación</w:t>
      </w:r>
    </w:p>
    <w:p w14:paraId="23F7D506" w14:textId="75B41D32" w:rsidR="00A656A3" w:rsidRDefault="00A656A3" w:rsidP="00A656A3">
      <w:pPr>
        <w:pStyle w:val="Prrafodelista"/>
        <w:numPr>
          <w:ilvl w:val="0"/>
          <w:numId w:val="2"/>
        </w:numPr>
        <w:spacing w:after="40"/>
        <w:ind w:left="340" w:hanging="227"/>
      </w:pPr>
      <w:r>
        <w:t>La cobertura del SCD se concentra en el norte del departamento (Utcubamba y Bagua) y en capitales de provincia.</w:t>
      </w:r>
    </w:p>
    <w:p w14:paraId="00571274" w14:textId="6907C8DA" w:rsidR="00A656A3" w:rsidRDefault="00A656A3" w:rsidP="00A656A3">
      <w:pPr>
        <w:pStyle w:val="Prrafodelista"/>
        <w:numPr>
          <w:ilvl w:val="0"/>
          <w:numId w:val="2"/>
        </w:numPr>
        <w:spacing w:after="40"/>
        <w:ind w:left="340" w:hanging="227"/>
      </w:pPr>
      <w:r w:rsidRPr="00A656A3">
        <w:rPr>
          <w:b/>
        </w:rPr>
        <w:t xml:space="preserve">«Sin cobertura» significa sin usuarios del Servicio de Cuidado Diurno: </w:t>
      </w:r>
      <w:r>
        <w:t>el análisis no incluye el Servicio de Acompañamiento a Familias (SAF), por lo que no equivale a ausencia de Cuna Más.</w:t>
      </w:r>
    </w:p>
    <w:p w14:paraId="2C7DC865" w14:textId="707DA8A6" w:rsidR="00A656A3" w:rsidRDefault="00A656A3" w:rsidP="00A656A3">
      <w:pPr>
        <w:pStyle w:val="Prrafodelista"/>
        <w:numPr>
          <w:ilvl w:val="0"/>
          <w:numId w:val="2"/>
        </w:numPr>
        <w:spacing w:after="40"/>
        <w:ind w:left="340" w:hanging="227"/>
      </w:pPr>
      <w:r>
        <w:t>El caso de Bagua puede deberse a un servicio que se mantiene fuera de la focalización vigente o a un dato que hay que corregir. Con la información disponible no es posible determinarlo.</w:t>
      </w:r>
    </w:p>
    <w:p w14:paraId="058BE3B8" w14:textId="66DC602A" w:rsidR="00A656A3" w:rsidRDefault="00A656A3" w:rsidP="00A656A3">
      <w:pPr>
        <w:spacing w:before="180"/>
        <w:rPr>
          <w:b/>
          <w:color w:val="184F95"/>
          <w:sz w:val="24"/>
        </w:rPr>
      </w:pPr>
      <w:r>
        <w:rPr>
          <w:b/>
          <w:color w:val="184F95"/>
          <w:sz w:val="24"/>
        </w:rPr>
        <w:t>3. Recomendaciones</w:t>
      </w:r>
    </w:p>
    <w:p w14:paraId="60D18614" w14:textId="7878E87A" w:rsidR="00A656A3" w:rsidRDefault="00A656A3" w:rsidP="00A656A3">
      <w:pPr>
        <w:pStyle w:val="Prrafodelista"/>
        <w:numPr>
          <w:ilvl w:val="0"/>
          <w:numId w:val="3"/>
        </w:numPr>
        <w:spacing w:after="40"/>
        <w:ind w:left="340" w:hanging="227"/>
      </w:pPr>
      <w:r w:rsidRPr="00A656A3">
        <w:rPr>
          <w:b/>
        </w:rPr>
        <w:t xml:space="preserve">Verificar el caso de Bagua </w:t>
      </w:r>
      <w:r>
        <w:t>con el área de focalización y documentar la decisión (mantener, regularizar o corregir el registro).</w:t>
      </w:r>
    </w:p>
    <w:p w14:paraId="0C52F735" w14:textId="376E46E4" w:rsidR="00A656A3" w:rsidRDefault="00A656A3" w:rsidP="00A656A3">
      <w:pPr>
        <w:pStyle w:val="Prrafodelista"/>
        <w:numPr>
          <w:ilvl w:val="0"/>
          <w:numId w:val="3"/>
        </w:numPr>
        <w:spacing w:after="40"/>
        <w:ind w:left="340" w:hanging="227"/>
      </w:pPr>
      <w:r w:rsidRPr="00A656A3">
        <w:rPr>
          <w:b/>
        </w:rPr>
        <w:t xml:space="preserve">Completar el archivo de distritos focalizados </w:t>
      </w:r>
      <w:r>
        <w:t>con los 84 distritos, cada uno con ubigeo, provincia y condición SÍ/NO, para poder hacer un cruce completo.</w:t>
      </w:r>
    </w:p>
    <w:p w14:paraId="20326EFE" w14:textId="1C631504" w:rsidR="00A656A3" w:rsidRDefault="00A656A3" w:rsidP="00A656A3">
      <w:pPr>
        <w:pStyle w:val="Prrafodelista"/>
        <w:numPr>
          <w:ilvl w:val="0"/>
          <w:numId w:val="3"/>
        </w:numPr>
        <w:spacing w:after="40"/>
        <w:ind w:left="340" w:hanging="227"/>
      </w:pPr>
      <w:r w:rsidRPr="00A656A3">
        <w:rPr>
          <w:b/>
        </w:rPr>
        <w:t xml:space="preserve">Medir la brecha real: </w:t>
      </w:r>
      <w:r>
        <w:t>incorporar el padrón SAF y la población de 6 a 36 meses por distrito, y priorizar los distritos focalizados sin cobertura.</w:t>
      </w:r>
    </w:p>
    <w:p w14:paraId="06BB910E" w14:textId="143639D3" w:rsidR="00A656A3" w:rsidRDefault="00A656A3" w:rsidP="00A656A3">
      <w:pPr>
        <w:pStyle w:val="Prrafodelista"/>
        <w:numPr>
          <w:ilvl w:val="0"/>
          <w:numId w:val="3"/>
        </w:numPr>
        <w:spacing w:after="40"/>
        <w:ind w:left="340" w:hanging="227"/>
      </w:pPr>
      <w:r w:rsidRPr="00A656A3">
        <w:rPr>
          <w:b/>
        </w:rPr>
        <w:t xml:space="preserve">Replicar el análisis con el padrón nacional </w:t>
      </w:r>
      <w:r>
        <w:t>una vez validado el método con este corte de prueba.</w:t>
      </w:r>
    </w:p>
    <w:p w14:paraId="7C1EED3C" w14:textId="7ABB7AA1" w:rsidR="00A656A3" w:rsidRDefault="00A656A3" w:rsidP="00A656A3">
      <w:pPr>
        <w:spacing w:before="180"/>
        <w:rPr>
          <w:b/>
          <w:color w:val="184F95"/>
          <w:sz w:val="24"/>
        </w:rPr>
      </w:pPr>
      <w:r>
        <w:rPr>
          <w:b/>
          <w:color w:val="184F95"/>
          <w:sz w:val="24"/>
        </w:rPr>
        <w:t>Anexo. Distritos sin cobertura del SCD (74)</w:t>
      </w:r>
    </w:p>
    <w:tbl>
      <w:tblPr>
        <w:tblW w:w="0" w:type="auto"/>
        <w:tblBorders>
          <w:bottom w:val="single" w:sz="4" w:space="0" w:color="C3C2B7"/>
          <w:insideV w:val="single" w:sz="4" w:space="0" w:color="C3C2B7"/>
        </w:tblBorders>
        <w:tblLayout w:type="fixed"/>
        <w:tblCellMar>
          <w:top w:w="23" w:type="dxa"/>
          <w:left w:w="70" w:type="dxa"/>
          <w:bottom w:w="23" w:type="dxa"/>
          <w:right w:w="70" w:type="dxa"/>
        </w:tblCellMar>
        <w:tblLook w:val="0000" w:firstRow="0" w:lastRow="0" w:firstColumn="0" w:lastColumn="0" w:noHBand="0" w:noVBand="0"/>
      </w:tblPr>
      <w:tblGrid>
        <w:gridCol w:w="1871"/>
        <w:gridCol w:w="1247"/>
        <w:gridCol w:w="6520"/>
      </w:tblGrid>
      <w:tr w:rsidR="00A656A3" w:rsidRPr="00A656A3" w14:paraId="1A00CA39" w14:textId="77777777" w:rsidTr="00A656A3">
        <w:tc>
          <w:tcPr>
            <w:tcW w:w="1871" w:type="dxa"/>
            <w:tcBorders>
              <w:bottom w:val="nil"/>
            </w:tcBorders>
            <w:shd w:val="clear" w:color="auto" w:fill="EAF2FB"/>
          </w:tcPr>
          <w:p w14:paraId="1351504C" w14:textId="68F6FEAC" w:rsidR="00A656A3" w:rsidRPr="00A656A3" w:rsidRDefault="00A656A3" w:rsidP="00A656A3">
            <w:pPr>
              <w:spacing w:after="0"/>
              <w:rPr>
                <w:b/>
                <w:color w:val="184F95"/>
                <w:sz w:val="16"/>
              </w:rPr>
            </w:pPr>
            <w:r w:rsidRPr="00A656A3">
              <w:rPr>
                <w:b/>
                <w:color w:val="184F95"/>
                <w:sz w:val="16"/>
              </w:rPr>
              <w:t>Provincia</w:t>
            </w:r>
          </w:p>
        </w:tc>
        <w:tc>
          <w:tcPr>
            <w:tcW w:w="1247" w:type="dxa"/>
            <w:tcBorders>
              <w:bottom w:val="nil"/>
            </w:tcBorders>
            <w:shd w:val="clear" w:color="auto" w:fill="EAF2FB"/>
          </w:tcPr>
          <w:p w14:paraId="3182382C" w14:textId="6694FD06" w:rsidR="00A656A3" w:rsidRPr="00A656A3" w:rsidRDefault="00A656A3" w:rsidP="00A656A3">
            <w:pPr>
              <w:spacing w:after="0"/>
              <w:rPr>
                <w:b/>
                <w:color w:val="184F95"/>
                <w:sz w:val="16"/>
              </w:rPr>
            </w:pPr>
            <w:r w:rsidRPr="00A656A3">
              <w:rPr>
                <w:b/>
                <w:color w:val="184F95"/>
                <w:sz w:val="16"/>
              </w:rPr>
              <w:t>Sin cobertura</w:t>
            </w:r>
          </w:p>
        </w:tc>
        <w:tc>
          <w:tcPr>
            <w:tcW w:w="6520" w:type="dxa"/>
            <w:tcBorders>
              <w:bottom w:val="nil"/>
            </w:tcBorders>
            <w:shd w:val="clear" w:color="auto" w:fill="EAF2FB"/>
          </w:tcPr>
          <w:p w14:paraId="6BB1AB2D" w14:textId="7CBBC8A3" w:rsidR="00A656A3" w:rsidRPr="00A656A3" w:rsidRDefault="00A656A3" w:rsidP="00A656A3">
            <w:pPr>
              <w:spacing w:after="0"/>
              <w:rPr>
                <w:b/>
                <w:color w:val="184F95"/>
                <w:sz w:val="16"/>
              </w:rPr>
            </w:pPr>
            <w:r w:rsidRPr="00A656A3">
              <w:rPr>
                <w:b/>
                <w:color w:val="184F95"/>
                <w:sz w:val="16"/>
              </w:rPr>
              <w:t>Distritos</w:t>
            </w:r>
          </w:p>
        </w:tc>
      </w:tr>
      <w:tr w:rsidR="00A656A3" w:rsidRPr="00A656A3" w14:paraId="39802CD0" w14:textId="77777777" w:rsidTr="00A656A3">
        <w:tc>
          <w:tcPr>
            <w:tcW w:w="1871" w:type="dxa"/>
            <w:tcBorders>
              <w:top w:val="nil"/>
            </w:tcBorders>
          </w:tcPr>
          <w:p w14:paraId="2B5A9D56" w14:textId="4B0CFFEA" w:rsidR="00A656A3" w:rsidRPr="00A656A3" w:rsidRDefault="00A656A3" w:rsidP="00A656A3">
            <w:pPr>
              <w:spacing w:after="0"/>
              <w:rPr>
                <w:b/>
                <w:sz w:val="16"/>
              </w:rPr>
            </w:pPr>
            <w:r w:rsidRPr="00A656A3">
              <w:rPr>
                <w:b/>
                <w:sz w:val="16"/>
              </w:rPr>
              <w:t>Chachapoyas</w:t>
            </w:r>
          </w:p>
        </w:tc>
        <w:tc>
          <w:tcPr>
            <w:tcW w:w="1247" w:type="dxa"/>
            <w:tcBorders>
              <w:top w:val="nil"/>
            </w:tcBorders>
          </w:tcPr>
          <w:p w14:paraId="4E52C1A9" w14:textId="4CC280A9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20 de 21</w:t>
            </w:r>
          </w:p>
        </w:tc>
        <w:tc>
          <w:tcPr>
            <w:tcW w:w="6520" w:type="dxa"/>
            <w:tcBorders>
              <w:top w:val="nil"/>
            </w:tcBorders>
          </w:tcPr>
          <w:p w14:paraId="57DC4CEE" w14:textId="5CCEA644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Asunción, Balsas, Cheto, Chiliquín, Chuquibamba, Granada, Huancas, La Jalca, Leimebamba, Levanto, Magdalena, Mariscal Castilla, Molinopampa, Montevideo, Olleros, Quinjalca, San Francisco de Daguas, San Isidro de Maino, Soloco, Sonche</w:t>
            </w:r>
          </w:p>
        </w:tc>
      </w:tr>
      <w:tr w:rsidR="00A656A3" w:rsidRPr="00A656A3" w14:paraId="59FA272F" w14:textId="77777777" w:rsidTr="00A656A3">
        <w:tc>
          <w:tcPr>
            <w:tcW w:w="1871" w:type="dxa"/>
          </w:tcPr>
          <w:p w14:paraId="0544060D" w14:textId="7ECD547E" w:rsidR="00A656A3" w:rsidRPr="00A656A3" w:rsidRDefault="00A656A3" w:rsidP="00A656A3">
            <w:pPr>
              <w:spacing w:after="0"/>
              <w:rPr>
                <w:b/>
                <w:sz w:val="16"/>
              </w:rPr>
            </w:pPr>
            <w:r w:rsidRPr="00A656A3">
              <w:rPr>
                <w:b/>
                <w:sz w:val="16"/>
              </w:rPr>
              <w:t>Bagua</w:t>
            </w:r>
          </w:p>
        </w:tc>
        <w:tc>
          <w:tcPr>
            <w:tcW w:w="1247" w:type="dxa"/>
          </w:tcPr>
          <w:p w14:paraId="1DA8D613" w14:textId="262F6527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3 de 6</w:t>
            </w:r>
          </w:p>
        </w:tc>
        <w:tc>
          <w:tcPr>
            <w:tcW w:w="6520" w:type="dxa"/>
          </w:tcPr>
          <w:p w14:paraId="712956F7" w14:textId="03485AEB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Aramango, Copallín, Imaza</w:t>
            </w:r>
          </w:p>
        </w:tc>
      </w:tr>
      <w:tr w:rsidR="00A656A3" w:rsidRPr="00A656A3" w14:paraId="2BDD553C" w14:textId="77777777" w:rsidTr="00A656A3">
        <w:tc>
          <w:tcPr>
            <w:tcW w:w="1871" w:type="dxa"/>
          </w:tcPr>
          <w:p w14:paraId="6CBE0DD0" w14:textId="09D4A35F" w:rsidR="00A656A3" w:rsidRPr="00A656A3" w:rsidRDefault="00A656A3" w:rsidP="00A656A3">
            <w:pPr>
              <w:spacing w:after="0"/>
              <w:rPr>
                <w:b/>
                <w:sz w:val="16"/>
              </w:rPr>
            </w:pPr>
            <w:r w:rsidRPr="00A656A3">
              <w:rPr>
                <w:b/>
                <w:sz w:val="16"/>
              </w:rPr>
              <w:t>Bongará</w:t>
            </w:r>
          </w:p>
        </w:tc>
        <w:tc>
          <w:tcPr>
            <w:tcW w:w="1247" w:type="dxa"/>
          </w:tcPr>
          <w:p w14:paraId="5224D94D" w14:textId="3D8C1741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11 de 12</w:t>
            </w:r>
          </w:p>
        </w:tc>
        <w:tc>
          <w:tcPr>
            <w:tcW w:w="6520" w:type="dxa"/>
          </w:tcPr>
          <w:p w14:paraId="6AB138CF" w14:textId="4264FBBC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Jumbilla, Chisquilla, Churuja, Corosha, Cuispes, Florida, Recta, San Carlos, Shipasbamba, Valera, Yambrasbamba</w:t>
            </w:r>
          </w:p>
        </w:tc>
      </w:tr>
      <w:tr w:rsidR="00A656A3" w:rsidRPr="00A656A3" w14:paraId="36864DA5" w14:textId="77777777" w:rsidTr="00A656A3">
        <w:tc>
          <w:tcPr>
            <w:tcW w:w="1871" w:type="dxa"/>
          </w:tcPr>
          <w:p w14:paraId="651BB82F" w14:textId="371A31C4" w:rsidR="00A656A3" w:rsidRPr="00A656A3" w:rsidRDefault="00A656A3" w:rsidP="00A656A3">
            <w:pPr>
              <w:spacing w:after="0"/>
              <w:rPr>
                <w:b/>
                <w:sz w:val="16"/>
              </w:rPr>
            </w:pPr>
            <w:r w:rsidRPr="00A656A3">
              <w:rPr>
                <w:b/>
                <w:sz w:val="16"/>
              </w:rPr>
              <w:t>Condorcanqui</w:t>
            </w:r>
          </w:p>
        </w:tc>
        <w:tc>
          <w:tcPr>
            <w:tcW w:w="1247" w:type="dxa"/>
          </w:tcPr>
          <w:p w14:paraId="7375D7A9" w14:textId="02F3F736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2 de 3</w:t>
            </w:r>
          </w:p>
        </w:tc>
        <w:tc>
          <w:tcPr>
            <w:tcW w:w="6520" w:type="dxa"/>
          </w:tcPr>
          <w:p w14:paraId="0ADF6084" w14:textId="645F7F46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El Cenepa, Río Santiago</w:t>
            </w:r>
          </w:p>
        </w:tc>
      </w:tr>
      <w:tr w:rsidR="00A656A3" w:rsidRPr="00A656A3" w14:paraId="63F3699B" w14:textId="77777777" w:rsidTr="00A656A3">
        <w:tc>
          <w:tcPr>
            <w:tcW w:w="1871" w:type="dxa"/>
          </w:tcPr>
          <w:p w14:paraId="595D746D" w14:textId="3EA28429" w:rsidR="00A656A3" w:rsidRPr="00A656A3" w:rsidRDefault="00A656A3" w:rsidP="00A656A3">
            <w:pPr>
              <w:spacing w:after="0"/>
              <w:rPr>
                <w:b/>
                <w:sz w:val="16"/>
              </w:rPr>
            </w:pPr>
            <w:r w:rsidRPr="00A656A3">
              <w:rPr>
                <w:b/>
                <w:sz w:val="16"/>
              </w:rPr>
              <w:t>Luya</w:t>
            </w:r>
          </w:p>
        </w:tc>
        <w:tc>
          <w:tcPr>
            <w:tcW w:w="1247" w:type="dxa"/>
          </w:tcPr>
          <w:p w14:paraId="7148705B" w14:textId="7BB500AB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23 de 23</w:t>
            </w:r>
          </w:p>
        </w:tc>
        <w:tc>
          <w:tcPr>
            <w:tcW w:w="6520" w:type="dxa"/>
          </w:tcPr>
          <w:p w14:paraId="030B4F72" w14:textId="7388DE25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Todos: Lamud, Camporredondo, Cocabamba, Colcamar, Conila, Inguilpata, Longuita, Lonya Chico, Luya, Luya Viejo, María, Ocalli, Ocumal, Pisuquía, Providencia, San Cristóbal, San Francisco del Yeso, San Jerónimo, San Juan de Lopecancha, Santa Catalina, Santo Tomás, Tingo, Trita</w:t>
            </w:r>
          </w:p>
        </w:tc>
      </w:tr>
      <w:tr w:rsidR="00A656A3" w:rsidRPr="00A656A3" w14:paraId="6C98E63C" w14:textId="77777777" w:rsidTr="00A656A3">
        <w:tc>
          <w:tcPr>
            <w:tcW w:w="1871" w:type="dxa"/>
          </w:tcPr>
          <w:p w14:paraId="0C274B10" w14:textId="64BF1EFC" w:rsidR="00A656A3" w:rsidRPr="00A656A3" w:rsidRDefault="00A656A3" w:rsidP="00A656A3">
            <w:pPr>
              <w:spacing w:after="0"/>
              <w:rPr>
                <w:b/>
                <w:sz w:val="16"/>
              </w:rPr>
            </w:pPr>
            <w:r w:rsidRPr="00A656A3">
              <w:rPr>
                <w:b/>
                <w:sz w:val="16"/>
              </w:rPr>
              <w:t>Rodríguez de Mendoza</w:t>
            </w:r>
          </w:p>
        </w:tc>
        <w:tc>
          <w:tcPr>
            <w:tcW w:w="1247" w:type="dxa"/>
          </w:tcPr>
          <w:p w14:paraId="5A775092" w14:textId="131498F8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12 de 12</w:t>
            </w:r>
          </w:p>
        </w:tc>
        <w:tc>
          <w:tcPr>
            <w:tcW w:w="6520" w:type="dxa"/>
          </w:tcPr>
          <w:p w14:paraId="2E5ACDE0" w14:textId="183D1965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Todos: San Nicolás, Chirimoto, Cochamal, Huambo, Limabamba, Longar, Mariscal Benavides, Milpuc, Omia, Santa Rosa, Totora, Vista Alegre</w:t>
            </w:r>
          </w:p>
        </w:tc>
      </w:tr>
      <w:tr w:rsidR="00A656A3" w:rsidRPr="00A656A3" w14:paraId="3895E174" w14:textId="77777777" w:rsidTr="00A656A3">
        <w:tc>
          <w:tcPr>
            <w:tcW w:w="1871" w:type="dxa"/>
          </w:tcPr>
          <w:p w14:paraId="40C58029" w14:textId="7B03ED1D" w:rsidR="00A656A3" w:rsidRPr="00A656A3" w:rsidRDefault="00A656A3" w:rsidP="00A656A3">
            <w:pPr>
              <w:spacing w:after="0"/>
              <w:rPr>
                <w:b/>
                <w:sz w:val="16"/>
              </w:rPr>
            </w:pPr>
            <w:r w:rsidRPr="00A656A3">
              <w:rPr>
                <w:b/>
                <w:sz w:val="16"/>
              </w:rPr>
              <w:t>Utcubamba</w:t>
            </w:r>
          </w:p>
        </w:tc>
        <w:tc>
          <w:tcPr>
            <w:tcW w:w="1247" w:type="dxa"/>
          </w:tcPr>
          <w:p w14:paraId="73D2822D" w14:textId="60AC5EEE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3 de 7</w:t>
            </w:r>
          </w:p>
        </w:tc>
        <w:tc>
          <w:tcPr>
            <w:tcW w:w="6520" w:type="dxa"/>
          </w:tcPr>
          <w:p w14:paraId="6DD8FE04" w14:textId="4FC2B1CB" w:rsidR="00A656A3" w:rsidRPr="00A656A3" w:rsidRDefault="00A656A3" w:rsidP="00A656A3">
            <w:pPr>
              <w:spacing w:after="0"/>
              <w:rPr>
                <w:sz w:val="16"/>
              </w:rPr>
            </w:pPr>
            <w:r w:rsidRPr="00A656A3">
              <w:rPr>
                <w:sz w:val="16"/>
              </w:rPr>
              <w:t>El Milagro, Jamalca, Yamón</w:t>
            </w:r>
          </w:p>
        </w:tc>
      </w:tr>
    </w:tbl>
    <w:p w14:paraId="46A3024E" w14:textId="7B2B90B5" w:rsidR="00A656A3" w:rsidRDefault="00A656A3" w:rsidP="00A656A3">
      <w:pPr>
        <w:spacing w:before="120" w:after="20"/>
        <w:rPr>
          <w:b/>
          <w:color w:val="184F95"/>
          <w:sz w:val="18"/>
        </w:rPr>
      </w:pPr>
      <w:r>
        <w:rPr>
          <w:b/>
          <w:color w:val="184F95"/>
          <w:sz w:val="18"/>
        </w:rPr>
        <w:t>Fuentes y notas</w:t>
      </w:r>
    </w:p>
    <w:p w14:paraId="3D4D0B75" w14:textId="2D32B6D3" w:rsidR="00A656A3" w:rsidRPr="00A656A3" w:rsidRDefault="00A656A3" w:rsidP="00A656A3">
      <w:pPr>
        <w:pStyle w:val="Prrafodelista"/>
        <w:numPr>
          <w:ilvl w:val="0"/>
          <w:numId w:val="4"/>
        </w:numPr>
        <w:spacing w:after="20"/>
        <w:ind w:left="283" w:hanging="198"/>
        <w:rPr>
          <w:color w:val="5D6670"/>
          <w:sz w:val="15"/>
        </w:rPr>
      </w:pPr>
      <w:r w:rsidRPr="00A656A3">
        <w:rPr>
          <w:color w:val="5D6670"/>
          <w:sz w:val="15"/>
        </w:rPr>
        <w:t>Padrón de Usuarios del Servicio de Cuidado Diurno, agosto 2026. Fuente declarada en el archivo: Módulo PSCNP y Sistema Integrado. Archivo SCD_202608_PADRON_AGOSTO_2026_v1.xlsx: extracto de prueba de la UT Amazonas, 1,035 registros (el padrón original consigna 64,871).</w:t>
      </w:r>
    </w:p>
    <w:p w14:paraId="4BB64C67" w14:textId="6248D3F8" w:rsidR="00A656A3" w:rsidRPr="00A656A3" w:rsidRDefault="00A656A3" w:rsidP="00A656A3">
      <w:pPr>
        <w:pStyle w:val="Prrafodelista"/>
        <w:numPr>
          <w:ilvl w:val="0"/>
          <w:numId w:val="4"/>
        </w:numPr>
        <w:spacing w:after="20"/>
        <w:ind w:left="283" w:hanging="198"/>
        <w:rPr>
          <w:color w:val="5D6670"/>
          <w:sz w:val="15"/>
        </w:rPr>
      </w:pPr>
      <w:r w:rsidRPr="00A656A3">
        <w:rPr>
          <w:color w:val="5D6670"/>
          <w:sz w:val="15"/>
        </w:rPr>
        <w:t>Universo de distritos: códigos de ubigeo del INEI (84 distritos, 7 provincias), obtenidos del conjunto abierto «ubigeo-peru-aumentado» (J. M. Castagnetto, GitHub), que compila las tablas del INEI. Es una fuente secundaria, contrastada con la cifra de la PCM (84 distritos) y con los ubigeos del padrón.</w:t>
      </w:r>
    </w:p>
    <w:p w14:paraId="45100101" w14:textId="12036094" w:rsidR="00A656A3" w:rsidRPr="00A656A3" w:rsidRDefault="00A656A3" w:rsidP="00A656A3">
      <w:pPr>
        <w:pStyle w:val="Prrafodelista"/>
        <w:numPr>
          <w:ilvl w:val="0"/>
          <w:numId w:val="4"/>
        </w:numPr>
        <w:spacing w:after="20"/>
        <w:ind w:left="283" w:hanging="198"/>
        <w:rPr>
          <w:color w:val="5D6670"/>
          <w:sz w:val="15"/>
        </w:rPr>
      </w:pPr>
      <w:r w:rsidRPr="00A656A3">
        <w:rPr>
          <w:color w:val="5D6670"/>
          <w:sz w:val="15"/>
        </w:rPr>
        <w:t>Focalización: archivo DISTRITOS FOCALIZADOS.xlsx (1 registro: Bagua = NO focalizado). Los distritos que no figuran se consideran «sin dato».</w:t>
      </w:r>
    </w:p>
    <w:p w14:paraId="6674BBC8" w14:textId="2754C6BE" w:rsidR="00A656A3" w:rsidRPr="00A656A3" w:rsidRDefault="00A656A3" w:rsidP="00A656A3">
      <w:pPr>
        <w:pStyle w:val="Prrafodelista"/>
        <w:numPr>
          <w:ilvl w:val="0"/>
          <w:numId w:val="4"/>
        </w:numPr>
        <w:spacing w:after="20"/>
        <w:ind w:left="283" w:hanging="198"/>
        <w:rPr>
          <w:color w:val="5D6670"/>
          <w:sz w:val="15"/>
        </w:rPr>
      </w:pPr>
      <w:r w:rsidRPr="00A656A3">
        <w:rPr>
          <w:color w:val="5D6670"/>
          <w:sz w:val="15"/>
        </w:rPr>
        <w:t>Notas: los distritos se asignan según la ubicación del local. Las Guías de Familia se cuentan por actividad registrada y se asignan a un solo distrito con una regla provisional. Este documento no contiene datos personales.</w:t>
      </w:r>
    </w:p>
    <w:p w14:paraId="4A3D30EF" w14:textId="77777777" w:rsidR="00A656A3" w:rsidRPr="00A656A3" w:rsidRDefault="00A656A3" w:rsidP="00A656A3">
      <w:pPr>
        <w:spacing w:after="20"/>
        <w:rPr>
          <w:color w:val="5D6670"/>
          <w:sz w:val="15"/>
        </w:rPr>
      </w:pPr>
    </w:p>
    <w:sectPr w:rsidR="00A656A3" w:rsidRPr="00A656A3" w:rsidSect="00A656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247" w:right="1134" w:bottom="1020" w:left="1134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AA325" w14:textId="77777777" w:rsidR="00B63CF2" w:rsidRDefault="00B63CF2" w:rsidP="00A656A3">
      <w:pPr>
        <w:spacing w:after="0"/>
      </w:pPr>
      <w:r>
        <w:separator/>
      </w:r>
    </w:p>
  </w:endnote>
  <w:endnote w:type="continuationSeparator" w:id="0">
    <w:p w14:paraId="0BCDC656" w14:textId="77777777" w:rsidR="00B63CF2" w:rsidRDefault="00B63CF2" w:rsidP="00A656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38561" w14:textId="77777777" w:rsidR="00A656A3" w:rsidRDefault="00A656A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1B48" w14:textId="727C80B0" w:rsidR="00A656A3" w:rsidRPr="00A656A3" w:rsidRDefault="00A656A3" w:rsidP="00A656A3">
    <w:pPr>
      <w:pStyle w:val="Piedepgina"/>
      <w:pBdr>
        <w:top w:val="single" w:sz="4" w:space="0" w:color="C3C2B7"/>
      </w:pBdr>
      <w:tabs>
        <w:tab w:val="clear" w:pos="4252"/>
        <w:tab w:val="clear" w:pos="8504"/>
        <w:tab w:val="right" w:pos="9638"/>
      </w:tabs>
      <w:rPr>
        <w:color w:val="5D6670"/>
        <w:sz w:val="16"/>
      </w:rPr>
    </w:pPr>
    <w:r w:rsidRPr="00A656A3">
      <w:rPr>
        <w:color w:val="5D6670"/>
        <w:sz w:val="16"/>
      </w:rPr>
      <w:t>Elaborado por: Cynthia Cevallos · 13 de octubre de 2026</w:t>
    </w:r>
    <w:r w:rsidRPr="00A656A3">
      <w:rPr>
        <w:color w:val="5D6670"/>
        <w:sz w:val="16"/>
      </w:rPr>
      <w:tab/>
      <w:t xml:space="preserve">Página </w:t>
    </w:r>
    <w:r w:rsidRPr="00A656A3">
      <w:rPr>
        <w:color w:val="5D6670"/>
        <w:sz w:val="16"/>
      </w:rPr>
      <w:fldChar w:fldCharType="begin"/>
    </w:r>
    <w:r w:rsidRPr="00A656A3">
      <w:rPr>
        <w:color w:val="5D6670"/>
        <w:sz w:val="16"/>
      </w:rPr>
      <w:instrText xml:space="preserve"> PAGE  \* MERGEFORMAT </w:instrText>
    </w:r>
    <w:r w:rsidRPr="00A656A3">
      <w:rPr>
        <w:color w:val="5D6670"/>
        <w:sz w:val="16"/>
      </w:rPr>
      <w:fldChar w:fldCharType="separate"/>
    </w:r>
    <w:r w:rsidRPr="00A656A3">
      <w:rPr>
        <w:noProof/>
        <w:color w:val="5D6670"/>
        <w:sz w:val="16"/>
      </w:rPr>
      <w:t>1</w:t>
    </w:r>
    <w:r w:rsidRPr="00A656A3">
      <w:rPr>
        <w:color w:val="5D6670"/>
        <w:sz w:val="16"/>
      </w:rPr>
      <w:fldChar w:fldCharType="end"/>
    </w:r>
    <w:r w:rsidRPr="00A656A3">
      <w:rPr>
        <w:color w:val="5D6670"/>
        <w:sz w:val="16"/>
      </w:rPr>
      <w:t xml:space="preserve"> de </w:t>
    </w:r>
    <w:r w:rsidRPr="00A656A3">
      <w:rPr>
        <w:color w:val="5D6670"/>
        <w:sz w:val="16"/>
      </w:rPr>
      <w:fldChar w:fldCharType="begin"/>
    </w:r>
    <w:r w:rsidRPr="00A656A3">
      <w:rPr>
        <w:color w:val="5D6670"/>
        <w:sz w:val="16"/>
      </w:rPr>
      <w:instrText xml:space="preserve"> NUMPAGES  \* MERGEFORMAT </w:instrText>
    </w:r>
    <w:r w:rsidRPr="00A656A3">
      <w:rPr>
        <w:color w:val="5D6670"/>
        <w:sz w:val="16"/>
      </w:rPr>
      <w:fldChar w:fldCharType="separate"/>
    </w:r>
    <w:r w:rsidRPr="00A656A3">
      <w:rPr>
        <w:noProof/>
        <w:color w:val="5D6670"/>
        <w:sz w:val="16"/>
      </w:rPr>
      <w:t>1</w:t>
    </w:r>
    <w:r w:rsidRPr="00A656A3">
      <w:rPr>
        <w:color w:val="5D667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9DD6F" w14:textId="77777777" w:rsidR="00A656A3" w:rsidRDefault="00A656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51C3A" w14:textId="77777777" w:rsidR="00B63CF2" w:rsidRDefault="00B63CF2" w:rsidP="00A656A3">
      <w:pPr>
        <w:spacing w:after="0"/>
      </w:pPr>
      <w:r>
        <w:separator/>
      </w:r>
    </w:p>
  </w:footnote>
  <w:footnote w:type="continuationSeparator" w:id="0">
    <w:p w14:paraId="7988E7D2" w14:textId="77777777" w:rsidR="00B63CF2" w:rsidRDefault="00B63CF2" w:rsidP="00A656A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9D86" w14:textId="77777777" w:rsidR="00A656A3" w:rsidRDefault="00A656A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F0904" w14:textId="1600E90F" w:rsidR="00A656A3" w:rsidRPr="00A656A3" w:rsidRDefault="00A656A3" w:rsidP="00A656A3">
    <w:pPr>
      <w:pStyle w:val="Encabezado"/>
      <w:pBdr>
        <w:bottom w:val="single" w:sz="4" w:space="0" w:color="C3C2B7"/>
      </w:pBdr>
      <w:tabs>
        <w:tab w:val="clear" w:pos="4252"/>
        <w:tab w:val="clear" w:pos="8504"/>
        <w:tab w:val="right" w:pos="9638"/>
      </w:tabs>
      <w:rPr>
        <w:color w:val="5D6670"/>
        <w:sz w:val="16"/>
      </w:rPr>
    </w:pPr>
    <w:r w:rsidRPr="00A656A3">
      <w:rPr>
        <w:color w:val="5D6670"/>
        <w:sz w:val="16"/>
      </w:rPr>
      <w:t>Programa Nacional Cuna Más · Servicio de Cuidado Diurno</w:t>
    </w:r>
    <w:r w:rsidRPr="00A656A3">
      <w:rPr>
        <w:color w:val="5D6670"/>
        <w:sz w:val="16"/>
      </w:rPr>
      <w:tab/>
      <w:t>Resumen ejecutivo · Agosto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93E69" w14:textId="77777777" w:rsidR="00A656A3" w:rsidRDefault="00A656A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F042C"/>
    <w:multiLevelType w:val="singleLevel"/>
    <w:tmpl w:val="280A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 w15:restartNumberingAfterBreak="0">
    <w:nsid w:val="0B2A72EB"/>
    <w:multiLevelType w:val="singleLevel"/>
    <w:tmpl w:val="280A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4776469B"/>
    <w:multiLevelType w:val="singleLevel"/>
    <w:tmpl w:val="280A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4ECE6EC0"/>
    <w:multiLevelType w:val="singleLevel"/>
    <w:tmpl w:val="280A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940946336">
    <w:abstractNumId w:val="2"/>
  </w:num>
  <w:num w:numId="2" w16cid:durableId="875892868">
    <w:abstractNumId w:val="3"/>
  </w:num>
  <w:num w:numId="3" w16cid:durableId="81881935">
    <w:abstractNumId w:val="0"/>
  </w:num>
  <w:num w:numId="4" w16cid:durableId="1007052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6A3"/>
    <w:rsid w:val="00704078"/>
    <w:rsid w:val="00A656A3"/>
    <w:rsid w:val="00B63CF2"/>
    <w:rsid w:val="00BB46D0"/>
    <w:rsid w:val="00CE1DBF"/>
    <w:rsid w:val="00EA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B508EDB"/>
  <w15:chartTrackingRefBased/>
  <w15:docId w15:val="{9AA31F2A-15DB-441C-ACB6-96DE80F16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</w:pPr>
    <w:rPr>
      <w:rFonts w:ascii="Calibri" w:hAnsi="Calibri"/>
      <w:color w:val="1D2329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A65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65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65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5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65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65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65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65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65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65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65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65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56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656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656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656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656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656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656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65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65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65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65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656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656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656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65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656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656A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656A3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A656A3"/>
    <w:rPr>
      <w:rFonts w:ascii="Calibri" w:hAnsi="Calibri"/>
      <w:color w:val="1D2329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A656A3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56A3"/>
    <w:rPr>
      <w:rFonts w:ascii="Calibri" w:hAnsi="Calibri"/>
      <w:color w:val="1D232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3901</Characters>
  <Application>Microsoft Office Word</Application>
  <DocSecurity>0</DocSecurity>
  <Lines>84</Lines>
  <Paragraphs>61</Paragraphs>
  <ScaleCrop>false</ScaleCrop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Resumen ejecutivo: Cobertura distrital del SCD en Amazonas, agosto 2026</dc:title>
  <dc:subject/>
  <dc:creator>Cynthia Cevallos</dc:creator>
  <cp:keywords/>
  <dc:description/>
  <cp:lastModifiedBy>Cynthia Cevallos</cp:lastModifiedBy>
  <cp:revision>1</cp:revision>
  <dcterms:created xsi:type="dcterms:W3CDTF">2026-10-13T20:45:00Z</dcterms:created>
  <dcterms:modified xsi:type="dcterms:W3CDTF">2026-10-13T20:45:00Z</dcterms:modified>
</cp:coreProperties>
</file>